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1B" w:rsidRPr="00503C14" w:rsidRDefault="00DF6C1B">
      <w:pPr>
        <w:framePr w:h="1579" w:wrap="notBeside" w:vAnchor="text" w:hAnchor="text" w:xAlign="center" w:y="1"/>
        <w:jc w:val="center"/>
        <w:rPr>
          <w:sz w:val="2"/>
          <w:szCs w:val="2"/>
          <w:lang w:val="en-US"/>
        </w:rPr>
      </w:pPr>
    </w:p>
    <w:p w:rsidR="00DF6C1B" w:rsidRPr="00503C14" w:rsidRDefault="00DF6C1B" w:rsidP="00503C14">
      <w:pPr>
        <w:pStyle w:val="30"/>
        <w:shd w:val="clear" w:color="auto" w:fill="auto"/>
        <w:spacing w:before="0" w:after="316" w:line="180" w:lineRule="exact"/>
      </w:pPr>
      <w:bookmarkStart w:id="0" w:name="_GoBack"/>
      <w:bookmarkEnd w:id="0"/>
    </w:p>
    <w:p w:rsidR="00DF6C1B" w:rsidRPr="00503C14" w:rsidRDefault="00503C14" w:rsidP="00503C14">
      <w:pPr>
        <w:pStyle w:val="40"/>
        <w:shd w:val="clear" w:color="auto" w:fill="auto"/>
        <w:tabs>
          <w:tab w:val="left" w:pos="1887"/>
        </w:tabs>
        <w:spacing w:before="0" w:after="66" w:line="220" w:lineRule="exact"/>
        <w:ind w:left="500"/>
        <w:rPr>
          <w:b/>
        </w:rPr>
      </w:pPr>
      <w:r w:rsidRPr="00503C14">
        <w:rPr>
          <w:b/>
          <w:lang w:val="en-US"/>
        </w:rPr>
        <w:t xml:space="preserve">                                                   </w:t>
      </w:r>
      <w:r w:rsidRPr="00503C14">
        <w:rPr>
          <w:b/>
        </w:rPr>
        <w:t>Письмо №740</w:t>
      </w:r>
    </w:p>
    <w:p w:rsidR="00503C14" w:rsidRPr="00503C14" w:rsidRDefault="00503C14" w:rsidP="00503C14">
      <w:pPr>
        <w:pStyle w:val="40"/>
        <w:shd w:val="clear" w:color="auto" w:fill="auto"/>
        <w:tabs>
          <w:tab w:val="left" w:pos="1887"/>
        </w:tabs>
        <w:spacing w:before="0" w:after="66" w:line="220" w:lineRule="exact"/>
        <w:ind w:left="500"/>
        <w:rPr>
          <w:b/>
        </w:rPr>
      </w:pPr>
      <w:r w:rsidRPr="00503C14">
        <w:rPr>
          <w:b/>
        </w:rPr>
        <w:t xml:space="preserve">                                                                  Руководителям </w:t>
      </w:r>
      <w:proofErr w:type="gramStart"/>
      <w:r w:rsidRPr="00503C14">
        <w:rPr>
          <w:b/>
        </w:rPr>
        <w:t>образовательных</w:t>
      </w:r>
      <w:proofErr w:type="gramEnd"/>
    </w:p>
    <w:p w:rsidR="00503C14" w:rsidRPr="00503C14" w:rsidRDefault="00503C14" w:rsidP="00503C14">
      <w:pPr>
        <w:pStyle w:val="40"/>
        <w:shd w:val="clear" w:color="auto" w:fill="auto"/>
        <w:tabs>
          <w:tab w:val="left" w:pos="1887"/>
        </w:tabs>
        <w:spacing w:before="0" w:after="66" w:line="220" w:lineRule="exact"/>
        <w:ind w:left="500"/>
        <w:rPr>
          <w:b/>
        </w:rPr>
      </w:pPr>
      <w:r w:rsidRPr="00503C14">
        <w:rPr>
          <w:b/>
        </w:rPr>
        <w:t xml:space="preserve">                                                                  организаций района</w:t>
      </w:r>
    </w:p>
    <w:p w:rsidR="00503C14" w:rsidRPr="00503C14" w:rsidRDefault="00503C14" w:rsidP="00503C14">
      <w:pPr>
        <w:pStyle w:val="40"/>
        <w:shd w:val="clear" w:color="auto" w:fill="auto"/>
        <w:tabs>
          <w:tab w:val="left" w:pos="1887"/>
        </w:tabs>
        <w:spacing w:before="0" w:after="66" w:line="220" w:lineRule="exact"/>
        <w:ind w:left="500"/>
        <w:rPr>
          <w:b/>
        </w:rPr>
      </w:pPr>
    </w:p>
    <w:p w:rsidR="00503C14" w:rsidRDefault="00503C14" w:rsidP="00503C14">
      <w:pPr>
        <w:pStyle w:val="40"/>
        <w:shd w:val="clear" w:color="auto" w:fill="auto"/>
        <w:tabs>
          <w:tab w:val="left" w:pos="1887"/>
        </w:tabs>
        <w:spacing w:before="0" w:after="66" w:line="220" w:lineRule="exact"/>
        <w:ind w:left="500"/>
      </w:pPr>
      <w:r w:rsidRPr="00503C14">
        <w:rPr>
          <w:b/>
        </w:rPr>
        <w:t>О дополнительных мерах социальной поддержки работников</w:t>
      </w:r>
      <w:r>
        <w:t>.</w:t>
      </w:r>
    </w:p>
    <w:p w:rsidR="00503C14" w:rsidRPr="00503C14" w:rsidRDefault="00503C14" w:rsidP="00503C14">
      <w:pPr>
        <w:pStyle w:val="40"/>
        <w:shd w:val="clear" w:color="auto" w:fill="auto"/>
        <w:tabs>
          <w:tab w:val="left" w:pos="1887"/>
        </w:tabs>
        <w:spacing w:before="0" w:after="66" w:line="220" w:lineRule="exact"/>
        <w:ind w:left="500"/>
      </w:pPr>
    </w:p>
    <w:p w:rsidR="00DF6C1B" w:rsidRDefault="00503C14">
      <w:pPr>
        <w:pStyle w:val="20"/>
        <w:shd w:val="clear" w:color="auto" w:fill="auto"/>
        <w:spacing w:after="0" w:line="480" w:lineRule="exact"/>
        <w:ind w:firstLine="740"/>
        <w:jc w:val="both"/>
      </w:pPr>
      <w:proofErr w:type="gramStart"/>
      <w:r>
        <w:t>МКУ «Управление образования» в</w:t>
      </w:r>
      <w:r w:rsidR="00F4502E">
        <w:t>о исполнение поручения Главы Республики Дагестан, а также в целях повышения уровня социальной и профессиональной поддержки педагогических работников, сохранения кадрового потенциала системы образования, развития наставничества и повышения престижа педагогической профессии направляем для использования в работе методические рекомендации по разработке и реализации дополнительных мер поддержки педагогических работников, имеющих стаж педагогической деятельности 30 и более лет.</w:t>
      </w:r>
      <w:proofErr w:type="gramEnd"/>
    </w:p>
    <w:p w:rsidR="00DF6C1B" w:rsidRDefault="00F4502E">
      <w:pPr>
        <w:pStyle w:val="20"/>
        <w:shd w:val="clear" w:color="auto" w:fill="auto"/>
        <w:spacing w:after="0" w:line="480" w:lineRule="exact"/>
        <w:ind w:firstLine="740"/>
        <w:jc w:val="both"/>
      </w:pPr>
      <w:r>
        <w:t>Методические рекомендации содержат предложения по формированию муниципальных механизмов поддержки педагогических работников, включая:</w:t>
      </w:r>
    </w:p>
    <w:p w:rsidR="00DF6C1B" w:rsidRDefault="00F4502E">
      <w:pPr>
        <w:pStyle w:val="20"/>
        <w:numPr>
          <w:ilvl w:val="0"/>
          <w:numId w:val="1"/>
        </w:numPr>
        <w:shd w:val="clear" w:color="auto" w:fill="auto"/>
        <w:tabs>
          <w:tab w:val="left" w:pos="1009"/>
        </w:tabs>
        <w:spacing w:after="0" w:line="480" w:lineRule="exact"/>
        <w:ind w:firstLine="740"/>
        <w:jc w:val="both"/>
      </w:pPr>
      <w:r>
        <w:t>финансовые меры стимулирования;</w:t>
      </w:r>
    </w:p>
    <w:p w:rsidR="00DF6C1B" w:rsidRDefault="00F4502E">
      <w:pPr>
        <w:pStyle w:val="20"/>
        <w:numPr>
          <w:ilvl w:val="0"/>
          <w:numId w:val="1"/>
        </w:numPr>
        <w:shd w:val="clear" w:color="auto" w:fill="auto"/>
        <w:tabs>
          <w:tab w:val="left" w:pos="1009"/>
        </w:tabs>
        <w:spacing w:after="0" w:line="480" w:lineRule="exact"/>
        <w:ind w:firstLine="740"/>
        <w:jc w:val="both"/>
      </w:pPr>
      <w:r>
        <w:t>меры социальной поддержки;</w:t>
      </w:r>
    </w:p>
    <w:p w:rsidR="00DF6C1B" w:rsidRDefault="00F4502E">
      <w:pPr>
        <w:pStyle w:val="20"/>
        <w:numPr>
          <w:ilvl w:val="0"/>
          <w:numId w:val="1"/>
        </w:numPr>
        <w:shd w:val="clear" w:color="auto" w:fill="auto"/>
        <w:tabs>
          <w:tab w:val="left" w:pos="1009"/>
        </w:tabs>
        <w:spacing w:after="0" w:line="480" w:lineRule="exact"/>
        <w:ind w:firstLine="740"/>
        <w:jc w:val="both"/>
      </w:pPr>
      <w:r>
        <w:t>развитие наставнической деятельности;</w:t>
      </w:r>
    </w:p>
    <w:p w:rsidR="00DF6C1B" w:rsidRDefault="00F4502E">
      <w:pPr>
        <w:pStyle w:val="20"/>
        <w:numPr>
          <w:ilvl w:val="0"/>
          <w:numId w:val="1"/>
        </w:numPr>
        <w:shd w:val="clear" w:color="auto" w:fill="auto"/>
        <w:tabs>
          <w:tab w:val="left" w:pos="1009"/>
        </w:tabs>
        <w:spacing w:after="0" w:line="480" w:lineRule="exact"/>
        <w:ind w:firstLine="740"/>
        <w:jc w:val="both"/>
      </w:pPr>
      <w:r>
        <w:t>механизмы общественного признания профессиональных заслуг;</w:t>
      </w:r>
    </w:p>
    <w:p w:rsidR="00DF6C1B" w:rsidRDefault="00F4502E">
      <w:pPr>
        <w:pStyle w:val="20"/>
        <w:numPr>
          <w:ilvl w:val="0"/>
          <w:numId w:val="1"/>
        </w:numPr>
        <w:shd w:val="clear" w:color="auto" w:fill="auto"/>
        <w:tabs>
          <w:tab w:val="left" w:pos="1190"/>
        </w:tabs>
        <w:spacing w:after="0" w:line="480" w:lineRule="exact"/>
        <w:ind w:firstLine="740"/>
        <w:jc w:val="both"/>
      </w:pPr>
      <w:r>
        <w:t>организационные и нормативные подходы к реализации муниципальных программ поддержки.</w:t>
      </w:r>
    </w:p>
    <w:p w:rsidR="00DF6C1B" w:rsidRDefault="00F4502E">
      <w:pPr>
        <w:pStyle w:val="20"/>
        <w:shd w:val="clear" w:color="auto" w:fill="auto"/>
        <w:spacing w:after="0" w:line="480" w:lineRule="exact"/>
        <w:ind w:firstLine="740"/>
        <w:jc w:val="both"/>
      </w:pPr>
      <w:r>
        <w:t xml:space="preserve">Рекомендуем рассмотреть возможность использования указанных методических рекомендаций </w:t>
      </w:r>
      <w:proofErr w:type="gramStart"/>
      <w:r>
        <w:t>при</w:t>
      </w:r>
      <w:proofErr w:type="gramEnd"/>
      <w:r>
        <w:t>:</w:t>
      </w:r>
      <w:r>
        <w:br w:type="page"/>
      </w:r>
    </w:p>
    <w:p w:rsidR="00DF6C1B" w:rsidRDefault="00F4502E">
      <w:pPr>
        <w:pStyle w:val="20"/>
        <w:numPr>
          <w:ilvl w:val="0"/>
          <w:numId w:val="1"/>
        </w:numPr>
        <w:shd w:val="clear" w:color="auto" w:fill="auto"/>
        <w:tabs>
          <w:tab w:val="left" w:pos="1075"/>
        </w:tabs>
        <w:spacing w:after="0" w:line="482" w:lineRule="exact"/>
        <w:ind w:left="820"/>
        <w:jc w:val="both"/>
      </w:pPr>
      <w:r>
        <w:lastRenderedPageBreak/>
        <w:t xml:space="preserve">разработке и актуализации </w:t>
      </w:r>
      <w:proofErr w:type="gramStart"/>
      <w:r>
        <w:t>муниципальных</w:t>
      </w:r>
      <w:proofErr w:type="gramEnd"/>
      <w:r>
        <w:t xml:space="preserve"> нормативных правовых</w:t>
      </w:r>
    </w:p>
    <w:p w:rsidR="00DF6C1B" w:rsidRDefault="00F4502E">
      <w:pPr>
        <w:pStyle w:val="20"/>
        <w:shd w:val="clear" w:color="auto" w:fill="auto"/>
        <w:spacing w:after="0" w:line="482" w:lineRule="exact"/>
        <w:jc w:val="both"/>
      </w:pPr>
      <w:r>
        <w:t>актов;</w:t>
      </w:r>
    </w:p>
    <w:p w:rsidR="00DF6C1B" w:rsidRDefault="00F4502E">
      <w:pPr>
        <w:pStyle w:val="20"/>
        <w:numPr>
          <w:ilvl w:val="0"/>
          <w:numId w:val="1"/>
        </w:numPr>
        <w:shd w:val="clear" w:color="auto" w:fill="auto"/>
        <w:tabs>
          <w:tab w:val="left" w:pos="1075"/>
        </w:tabs>
        <w:spacing w:after="0" w:line="482" w:lineRule="exact"/>
        <w:ind w:left="820"/>
        <w:jc w:val="both"/>
      </w:pPr>
      <w:proofErr w:type="gramStart"/>
      <w:r>
        <w:t>формировании</w:t>
      </w:r>
      <w:proofErr w:type="gramEnd"/>
      <w:r>
        <w:t xml:space="preserve"> муниципальных программ развития образования;</w:t>
      </w:r>
    </w:p>
    <w:p w:rsidR="00DF6C1B" w:rsidRDefault="00F4502E">
      <w:pPr>
        <w:pStyle w:val="20"/>
        <w:numPr>
          <w:ilvl w:val="0"/>
          <w:numId w:val="1"/>
        </w:numPr>
        <w:shd w:val="clear" w:color="auto" w:fill="auto"/>
        <w:tabs>
          <w:tab w:val="left" w:pos="1075"/>
        </w:tabs>
        <w:spacing w:after="0" w:line="482" w:lineRule="exact"/>
        <w:ind w:left="820"/>
        <w:jc w:val="both"/>
      </w:pPr>
      <w:proofErr w:type="gramStart"/>
      <w:r>
        <w:t>планировании</w:t>
      </w:r>
      <w:proofErr w:type="gramEnd"/>
      <w:r>
        <w:t xml:space="preserve"> мероприятий по поддержке педагогических работников;</w:t>
      </w:r>
    </w:p>
    <w:p w:rsidR="00DF6C1B" w:rsidRDefault="00F4502E" w:rsidP="00503C14">
      <w:pPr>
        <w:pStyle w:val="20"/>
        <w:numPr>
          <w:ilvl w:val="0"/>
          <w:numId w:val="1"/>
        </w:numPr>
        <w:shd w:val="clear" w:color="auto" w:fill="auto"/>
        <w:tabs>
          <w:tab w:val="left" w:pos="1084"/>
        </w:tabs>
        <w:spacing w:after="0" w:line="482" w:lineRule="exact"/>
        <w:ind w:left="820"/>
        <w:jc w:val="both"/>
      </w:pPr>
      <w:r>
        <w:t>организации системы наставничества в образовательных организация</w:t>
      </w:r>
      <w:r w:rsidR="00503C14">
        <w:t>х. Вам необходимо</w:t>
      </w:r>
      <w:r>
        <w:t xml:space="preserve"> обеспечить рассмотрение </w:t>
      </w:r>
      <w:proofErr w:type="gramStart"/>
      <w:r>
        <w:t>возможности внедрения дополнительных мер поддержки педагогических работников</w:t>
      </w:r>
      <w:proofErr w:type="gramEnd"/>
      <w:r>
        <w:t xml:space="preserve"> со стажем педагогической деятельности 30 и более лет с учетом финансово-экономических возможностей муниципального образования.</w:t>
      </w:r>
    </w:p>
    <w:p w:rsidR="00503C14" w:rsidRDefault="00503C14" w:rsidP="00503C14">
      <w:pPr>
        <w:pStyle w:val="20"/>
        <w:numPr>
          <w:ilvl w:val="0"/>
          <w:numId w:val="1"/>
        </w:numPr>
        <w:shd w:val="clear" w:color="auto" w:fill="auto"/>
        <w:tabs>
          <w:tab w:val="left" w:pos="1084"/>
        </w:tabs>
        <w:spacing w:after="0" w:line="482" w:lineRule="exact"/>
        <w:ind w:left="820"/>
        <w:jc w:val="both"/>
      </w:pPr>
    </w:p>
    <w:p w:rsidR="006C08BD" w:rsidRDefault="00F4502E" w:rsidP="006C08BD">
      <w:pPr>
        <w:pStyle w:val="20"/>
        <w:shd w:val="clear" w:color="auto" w:fill="auto"/>
        <w:spacing w:after="1380" w:line="260" w:lineRule="exact"/>
        <w:ind w:left="820"/>
        <w:jc w:val="both"/>
      </w:pPr>
      <w:r>
        <w:t>Прил</w:t>
      </w:r>
      <w:r w:rsidR="006C08BD">
        <w:t>ожение: на 6л в 1эк</w:t>
      </w:r>
    </w:p>
    <w:p w:rsidR="006C08BD" w:rsidRDefault="006C08BD" w:rsidP="006C08BD">
      <w:pPr>
        <w:pStyle w:val="20"/>
        <w:shd w:val="clear" w:color="auto" w:fill="auto"/>
        <w:spacing w:after="1380" w:line="260" w:lineRule="exact"/>
        <w:ind w:left="820"/>
        <w:jc w:val="both"/>
      </w:pPr>
      <w:r>
        <w:t xml:space="preserve">    Начальник  МКУ «Управление образования»                   Х. </w:t>
      </w:r>
      <w:proofErr w:type="spellStart"/>
      <w:r>
        <w:t>Н.Исаева</w:t>
      </w:r>
      <w:proofErr w:type="spellEnd"/>
      <w:r>
        <w:t>.</w:t>
      </w:r>
    </w:p>
    <w:p w:rsidR="006C08BD" w:rsidRDefault="006C08BD">
      <w:pPr>
        <w:pStyle w:val="20"/>
        <w:shd w:val="clear" w:color="auto" w:fill="auto"/>
        <w:spacing w:after="1380" w:line="260" w:lineRule="exact"/>
        <w:ind w:left="820"/>
        <w:jc w:val="both"/>
      </w:pPr>
    </w:p>
    <w:p w:rsidR="006C08BD" w:rsidRDefault="006C08BD">
      <w:pPr>
        <w:pStyle w:val="20"/>
        <w:shd w:val="clear" w:color="auto" w:fill="auto"/>
        <w:spacing w:after="1380" w:line="260" w:lineRule="exact"/>
        <w:ind w:left="820"/>
        <w:jc w:val="both"/>
      </w:pPr>
    </w:p>
    <w:p w:rsidR="006C08BD" w:rsidRDefault="006C08BD">
      <w:pPr>
        <w:pStyle w:val="20"/>
        <w:shd w:val="clear" w:color="auto" w:fill="auto"/>
        <w:spacing w:after="1380" w:line="260" w:lineRule="exact"/>
        <w:ind w:left="820"/>
        <w:jc w:val="both"/>
      </w:pPr>
    </w:p>
    <w:p w:rsidR="006C08BD" w:rsidRDefault="006C08BD">
      <w:pPr>
        <w:pStyle w:val="20"/>
        <w:shd w:val="clear" w:color="auto" w:fill="auto"/>
        <w:spacing w:after="1380" w:line="260" w:lineRule="exact"/>
        <w:ind w:left="820"/>
        <w:jc w:val="both"/>
      </w:pPr>
    </w:p>
    <w:p w:rsidR="006C08BD" w:rsidRDefault="006C08BD" w:rsidP="006C08B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Методические рекомендации</w:t>
      </w:r>
    </w:p>
    <w:p w:rsidR="006C08BD" w:rsidRDefault="006C08BD" w:rsidP="006C08B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по разработке и реализации дополнительных мер поддержки педагогических работников со стажем педагогической деятельности </w:t>
      </w:r>
    </w:p>
    <w:p w:rsidR="006C08BD" w:rsidRDefault="006C08BD" w:rsidP="006C08B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30 и более лет</w:t>
      </w:r>
    </w:p>
    <w:p w:rsidR="006C08BD" w:rsidRDefault="006C08BD" w:rsidP="006C08B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1. Общие положения</w:t>
      </w:r>
    </w:p>
    <w:p w:rsidR="006C08BD" w:rsidRDefault="006C08BD" w:rsidP="006C08B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1.1. Настоящие методические рекомендации подготовлены в целях оказания организационно-методической помощи органам местного самоуправления, осуществляющим управление в сфере образования, при разработке и внедрении дополнительных мер социальной, профессиональной и общественной поддержки педагогических работников, имеющих стаж педагогической деятельности 30 и более лет.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1.2. Рекомендации направлены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на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: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повышение престижа педагогической профессии;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сохранение кадрового потенциала системы образования;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поддержку педагогов-наставников;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стимулирование продолжения профессиональной деятельности опытных педагогических работников;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обеспечение преемственности педагогических традиций и практик.</w:t>
      </w:r>
    </w:p>
    <w:p w:rsidR="006C08BD" w:rsidRDefault="006C08BD" w:rsidP="006C08B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2. Цели и </w:t>
      </w:r>
      <w:proofErr w:type="gramStart"/>
      <w:r>
        <w:rPr>
          <w:rFonts w:eastAsiaTheme="minorHAnsi"/>
          <w:b/>
          <w:bCs/>
          <w:sz w:val="28"/>
          <w:szCs w:val="28"/>
          <w:lang w:eastAsia="en-US"/>
        </w:rPr>
        <w:t>задачи</w:t>
      </w:r>
      <w:proofErr w:type="gramEnd"/>
      <w:r>
        <w:rPr>
          <w:rFonts w:eastAsiaTheme="minorHAnsi"/>
          <w:b/>
          <w:bCs/>
          <w:sz w:val="28"/>
          <w:szCs w:val="28"/>
          <w:lang w:eastAsia="en-US"/>
        </w:rPr>
        <w:t xml:space="preserve"> дополнительных мер поддержки</w:t>
      </w:r>
    </w:p>
    <w:p w:rsidR="006C08BD" w:rsidRDefault="006C08BD" w:rsidP="006C08B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2.1. Цели.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Дополнительные меры поддержки педагогических работников со стажем 30 и более лет предусматриваются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для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: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признания многолетнего добросовестного труда;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создания условий для профессионального долголетия;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повышения уровня социальной защищенности;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вовлечения опытных педагогов в наставническую и экспертную деятельность.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2.2. Основные задачи.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Муниципальным образованиям рекомендуется обеспечить: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разработку муниципальных программ поддержки;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создание системы нематериального стимулирования;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расширение возможностей участия педагогов в наставничестве;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предоставление дополнительных социальных гарантий и льгот;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организацию мероприятий общественного признания заслуг педагогов.</w:t>
      </w:r>
    </w:p>
    <w:p w:rsidR="006C08BD" w:rsidRDefault="006C08BD" w:rsidP="006C08B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3. Категории педагогических работников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 К педагогическим работникам, на которых распространяются дополнительные меры поддержки, рекомендуется относить лиц: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>- замещающих педагогические должности в муниципальных образовательных организациях;</w:t>
      </w:r>
      <w:proofErr w:type="gramEnd"/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имеющих стаж педагогической деятельности 30 и более лет;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осуществляющих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трудовую деятельность по основному месту работы;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в отдельных случаях - вышедших на пенсию педагогических работников, продолжающих участвовать в образовательной и наставнической деятельности.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3.2. Стаж педагогической деятельности рекомендуется определять в соответствии с трудовым законодательством Российской Федерации и локальными нормативными актами.</w:t>
      </w:r>
    </w:p>
    <w:p w:rsidR="006C08BD" w:rsidRDefault="006C08BD" w:rsidP="006C08B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4. Рекомендуемые меры поддержки</w:t>
      </w:r>
    </w:p>
    <w:p w:rsidR="006C08BD" w:rsidRDefault="006C08BD" w:rsidP="006C08B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4.1. Финансовые меры поддержки.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Муниципальным образованиям рекомендуется предусматривать: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4.1.1. Единовременные выплаты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к юбилейным датам педагогической деятельности (30, 35, 40 лет);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ко Дню учителя;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за результативное участие и победы в профессиональных конкурсах муниципального, регионального, всероссийского и международных уровней;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за подготовку победителей и призеров конкурсов, олимпиад, фестивалей и соревнований различного уровня;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при награждении муниципальными и региональными знаками отличия.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4.1.2. Ежемесячные доплаты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Рекомендуется устанавливать: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выплаты за участие в экспертных, методических и аттестационных комиссиях.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4.1.3. Компенсационные меры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>Возможно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предусматривать: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компенсацию расходов на проезд;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компенсацию санаторно-курортного лечения;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- частичную компенсацию расходов на коммунальные услуги;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освобождение от уплаты земельного и имущественного налогов;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компенсацию части расходов на оплату найма жилья;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предоставление земельного участка;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материальную помощь в сложных жизненных ситуациях.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4.2. Профессиональная поддержка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Рекомендуется: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предоставлять приоритетное право участия в программах повышения квалификации;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привлекать опытных педагогов к наставничеству;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создавать муниципальные клубы педагогического мастерства;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включать педагогов со стажем 30 и более лет в состав экспертных и консультативных советов.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4.3. Социальная поддержка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Муниципальным образованиям рекомендуется рассмотреть возможность: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предоставления дополнительных дней отдыха;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организации диспансеризации и профилактических медицинских осмотров;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обеспечения льготного посещения учреждений культуры и спорта;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организации программ психологической поддержки и профессионального здоровья.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4.4. Меры общественного признания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Рекомендуется предусматривать: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учреждение муниципальных наград и благодарностей;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размещение информации о педагогах на официальных ресурсах;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проведение торжественных мероприятий;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ведение муниципальной «Книги почета работников образования».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5. Наставническая деятельность</w:t>
      </w:r>
    </w:p>
    <w:p w:rsidR="006C08BD" w:rsidRDefault="006C08BD" w:rsidP="006C08B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5.1. В целях передачи профессионального опыта рекомендуется: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закреплять за молодыми специалистами педагогов-наставников;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организовывать муниципальные школы наставничества;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учитывать наставническую деятельность при распределении стимулирующего фонда оплаты труда.</w:t>
      </w:r>
    </w:p>
    <w:p w:rsidR="006C08BD" w:rsidRDefault="006C08BD" w:rsidP="006C08B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6. Организационные механизмы реализации</w:t>
      </w:r>
    </w:p>
    <w:p w:rsidR="006C08BD" w:rsidRDefault="006C08BD" w:rsidP="006C08B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Муниципальным образованиям рекомендуется: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6.1. Нормативное обеспечение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Разработать и утвердить: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муниципальные правовые акты;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положения о мерах поддержки;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порядок предоставления выплат и льгот;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критерии участия в программах поддержки.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6.2. Финансовое обеспечение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Финансирование рекомендуется осуществлять за счет: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средств местного бюджета;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муниципальных программ развития образования;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внебюджетных источников, не запрещенных законодательством.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6.3. Информационное сопровождение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Рекомендуется обеспечить: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информирование педагогических работников о мерах поддержки;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открытость критериев предоставления мер поддержки;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регулярное размещение информации на официальных сайтах.</w:t>
      </w:r>
    </w:p>
    <w:p w:rsidR="006C08BD" w:rsidRDefault="006C08BD" w:rsidP="006C08B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7. Показатели эффективности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7.1. Для оценки эффективности реализации мер поддержки рекомендуется использовать: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уровень сохранения педагогических кадров;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долю педагогов, участвующих в наставничестве;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снижение текучести кадров;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уровень удовлетворенности педагогических работников;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количество педагогов, получивших меры поддержки.</w:t>
      </w:r>
    </w:p>
    <w:p w:rsidR="006C08BD" w:rsidRDefault="006C08BD" w:rsidP="006C08B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8. Рекомендуемая структура муниципального правового акта</w:t>
      </w:r>
    </w:p>
    <w:p w:rsidR="006C08BD" w:rsidRDefault="006C08BD" w:rsidP="006C08B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8.1. Муниципальный нормативный акт может включать: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 Общие положения;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Категории получателей мер поддержки;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 Перечень мер поддержки;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 Порядок предоставления мер поддержки;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5. Источники финансирования;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6. Порядок учета и отчетности;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7. Заключительные положения.</w:t>
      </w:r>
    </w:p>
    <w:p w:rsidR="006C08BD" w:rsidRDefault="006C08BD" w:rsidP="006C08B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9. Заключительные положения</w:t>
      </w:r>
    </w:p>
    <w:p w:rsidR="006C08BD" w:rsidRDefault="006C08BD" w:rsidP="006C08B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9.1. Органам местного самоуправления рекомендуется учитывать: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кадровую обеспеченность муниципальной системы образования;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финансовые возможности местного бюджета;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необходимость адресного и справедливого предоставления мер поддержки;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значимость сохранения профессионального опыта педагогических работников.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Реализация дополнительных мер поддержки педагогических работников со стажем 30 и более лет способствует укреплению кадрового потенциала системы образования, развитию наставничества и повышению общественного статуса педагогической профессии.</w:t>
      </w:r>
    </w:p>
    <w:p w:rsidR="006C08BD" w:rsidRPr="006C08BD" w:rsidRDefault="006C08BD" w:rsidP="006C08BD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_________________________________</w:t>
      </w:r>
    </w:p>
    <w:p w:rsidR="006C08BD" w:rsidRDefault="006C08BD" w:rsidP="006C08BD">
      <w:pPr>
        <w:autoSpaceDE w:val="0"/>
        <w:autoSpaceDN w:val="0"/>
        <w:adjustRightInd w:val="0"/>
        <w:jc w:val="center"/>
        <w:outlineLvl w:val="0"/>
        <w:rPr>
          <w:b/>
          <w:color w:val="011C29"/>
          <w:sz w:val="27"/>
          <w:szCs w:val="27"/>
          <w:shd w:val="clear" w:color="auto" w:fill="FFFFFF"/>
        </w:rPr>
      </w:pPr>
    </w:p>
    <w:p w:rsidR="006C08BD" w:rsidRDefault="006C08BD" w:rsidP="006C08BD">
      <w:pPr>
        <w:autoSpaceDE w:val="0"/>
        <w:autoSpaceDN w:val="0"/>
        <w:adjustRightInd w:val="0"/>
        <w:jc w:val="center"/>
        <w:outlineLvl w:val="0"/>
        <w:rPr>
          <w:b/>
          <w:color w:val="011C29"/>
          <w:sz w:val="27"/>
          <w:szCs w:val="27"/>
          <w:shd w:val="clear" w:color="auto" w:fill="FFFFFF"/>
        </w:rPr>
      </w:pPr>
    </w:p>
    <w:p w:rsidR="006C08BD" w:rsidRDefault="006C08BD" w:rsidP="006C08BD">
      <w:pPr>
        <w:autoSpaceDE w:val="0"/>
        <w:autoSpaceDN w:val="0"/>
        <w:adjustRightInd w:val="0"/>
        <w:jc w:val="center"/>
        <w:outlineLvl w:val="0"/>
        <w:rPr>
          <w:b/>
          <w:color w:val="011C29"/>
          <w:sz w:val="27"/>
          <w:szCs w:val="27"/>
          <w:shd w:val="clear" w:color="auto" w:fill="FFFFFF"/>
        </w:rPr>
      </w:pPr>
    </w:p>
    <w:p w:rsidR="006C08BD" w:rsidRDefault="006C08BD" w:rsidP="006C08BD">
      <w:pPr>
        <w:autoSpaceDE w:val="0"/>
        <w:autoSpaceDN w:val="0"/>
        <w:adjustRightInd w:val="0"/>
        <w:jc w:val="center"/>
        <w:outlineLvl w:val="0"/>
        <w:rPr>
          <w:b/>
          <w:color w:val="011C29"/>
          <w:sz w:val="27"/>
          <w:szCs w:val="27"/>
          <w:shd w:val="clear" w:color="auto" w:fill="FFFFFF"/>
        </w:rPr>
      </w:pPr>
      <w:r>
        <w:rPr>
          <w:b/>
          <w:color w:val="011C29"/>
          <w:sz w:val="27"/>
          <w:szCs w:val="27"/>
          <w:shd w:val="clear" w:color="auto" w:fill="FFFFFF"/>
        </w:rPr>
        <w:t>Дорожная карта</w:t>
      </w:r>
    </w:p>
    <w:p w:rsidR="006C08BD" w:rsidRDefault="006C08BD" w:rsidP="006C08BD">
      <w:pPr>
        <w:autoSpaceDE w:val="0"/>
        <w:autoSpaceDN w:val="0"/>
        <w:adjustRightInd w:val="0"/>
        <w:jc w:val="center"/>
        <w:outlineLvl w:val="0"/>
        <w:rPr>
          <w:b/>
          <w:color w:val="011C29"/>
          <w:sz w:val="27"/>
          <w:szCs w:val="27"/>
          <w:shd w:val="clear" w:color="auto" w:fill="FFFFFF"/>
        </w:rPr>
      </w:pPr>
      <w:r>
        <w:rPr>
          <w:b/>
          <w:color w:val="011C29"/>
          <w:sz w:val="27"/>
          <w:szCs w:val="27"/>
          <w:shd w:val="clear" w:color="auto" w:fill="FFFFFF"/>
        </w:rPr>
        <w:t>внедрения дополнительных мер поддержки педагогических работников со стажем педагогической деятельности 30 и более лет</w:t>
      </w:r>
    </w:p>
    <w:p w:rsidR="006C08BD" w:rsidRDefault="006C08BD" w:rsidP="006C08BD">
      <w:pPr>
        <w:autoSpaceDE w:val="0"/>
        <w:autoSpaceDN w:val="0"/>
        <w:adjustRightInd w:val="0"/>
        <w:jc w:val="both"/>
        <w:outlineLvl w:val="0"/>
        <w:rPr>
          <w:color w:val="011C29"/>
          <w:sz w:val="27"/>
          <w:szCs w:val="27"/>
          <w:shd w:val="clear" w:color="auto" w:fill="FFFFFF"/>
        </w:rPr>
      </w:pP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color w:val="011C29"/>
          <w:sz w:val="27"/>
          <w:szCs w:val="27"/>
          <w:shd w:val="clear" w:color="auto" w:fill="FFFFFF"/>
        </w:rPr>
      </w:pPr>
      <w:r>
        <w:rPr>
          <w:color w:val="011C29"/>
          <w:sz w:val="27"/>
          <w:szCs w:val="27"/>
          <w:shd w:val="clear" w:color="auto" w:fill="FFFFFF"/>
        </w:rPr>
        <w:t xml:space="preserve">Настоящая дорожная карта определяет последовательность организационных, нормативных и практических мероприятий по внедрению дополнительных мер поддержки педагогических работников со стажем педагогической деятельности 30 и более лет на муниципальном уровне. 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center"/>
        <w:outlineLvl w:val="0"/>
        <w:rPr>
          <w:b/>
          <w:color w:val="011C29"/>
          <w:sz w:val="27"/>
          <w:szCs w:val="27"/>
          <w:shd w:val="clear" w:color="auto" w:fill="FFFFFF"/>
        </w:rPr>
      </w:pPr>
    </w:p>
    <w:p w:rsidR="006C08BD" w:rsidRDefault="006C08BD" w:rsidP="006C08BD">
      <w:pPr>
        <w:autoSpaceDE w:val="0"/>
        <w:autoSpaceDN w:val="0"/>
        <w:adjustRightInd w:val="0"/>
        <w:ind w:firstLine="567"/>
        <w:jc w:val="center"/>
        <w:outlineLvl w:val="0"/>
        <w:rPr>
          <w:color w:val="011C29"/>
          <w:sz w:val="27"/>
          <w:szCs w:val="27"/>
          <w:shd w:val="clear" w:color="auto" w:fill="FFFFFF"/>
        </w:rPr>
      </w:pPr>
      <w:r>
        <w:rPr>
          <w:color w:val="011C29"/>
          <w:sz w:val="27"/>
          <w:szCs w:val="27"/>
          <w:shd w:val="clear" w:color="auto" w:fill="FFFFFF"/>
        </w:rPr>
        <w:t>Основные этапы реализации: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color w:val="011C29"/>
          <w:sz w:val="27"/>
          <w:szCs w:val="27"/>
          <w:shd w:val="clear" w:color="auto" w:fill="FFFFFF"/>
        </w:rPr>
      </w:pPr>
    </w:p>
    <w:tbl>
      <w:tblPr>
        <w:tblStyle w:val="a4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3403"/>
        <w:gridCol w:w="1419"/>
        <w:gridCol w:w="2269"/>
        <w:gridCol w:w="2127"/>
      </w:tblGrid>
      <w:tr w:rsidR="006C08BD" w:rsidTr="006C08BD">
        <w:trPr>
          <w:trHeight w:val="4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 w:val="24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 w:val="24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 w:val="24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Срок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 w:val="24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Ответственные 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 w:val="24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Ожидаемый результат</w:t>
            </w:r>
          </w:p>
        </w:tc>
      </w:tr>
      <w:tr w:rsidR="006C08BD" w:rsidTr="006C08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Проведение анализа кадрового состава педагогических работников со стажем 30 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>I 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Орган управления образованием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Сформирован реестр педагогических работников</w:t>
            </w:r>
          </w:p>
        </w:tc>
      </w:tr>
      <w:tr w:rsidR="006C08BD" w:rsidTr="006C08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Оценка потребности в мерах поддержки и финансовых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>I 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Финансовый орган, орган управления образованием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Подготовлены расчеты и предложения</w:t>
            </w:r>
          </w:p>
        </w:tc>
      </w:tr>
      <w:tr w:rsidR="006C08BD" w:rsidTr="006C08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Создание рабочей группы по разработке муниципальных мер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>I 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Администрация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Сформирована рабочая группа</w:t>
            </w:r>
          </w:p>
        </w:tc>
      </w:tr>
      <w:tr w:rsidR="006C08BD" w:rsidTr="006C08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Подготовка проекта муниципального нормативного правового 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>II 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Орган управления образованием, юридическая служба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Подготовлен проект НПА</w:t>
            </w:r>
          </w:p>
        </w:tc>
      </w:tr>
      <w:tr w:rsidR="006C08BD" w:rsidTr="006C08BD">
        <w:trPr>
          <w:trHeight w:val="4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Согласование проекта нормативного 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>II 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Финансовый орган, юридическая служба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Получены согласования</w:t>
            </w:r>
          </w:p>
        </w:tc>
      </w:tr>
      <w:tr w:rsidR="006C08BD" w:rsidTr="006C08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Утверждение муниципального нормативного правового 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>II 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Глава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Принят муниципальный акт</w:t>
            </w:r>
          </w:p>
        </w:tc>
      </w:tr>
      <w:tr w:rsidR="006C08BD" w:rsidTr="006C08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Формирование перечня мер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>II 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Орган управления образованием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Утвержден перечень мер поддержки</w:t>
            </w:r>
          </w:p>
        </w:tc>
      </w:tr>
      <w:tr w:rsidR="006C08BD" w:rsidTr="006C08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Определение порядка предоставления выплат и льгот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>II 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Орган управления образованием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Утвержден порядок предоставления</w:t>
            </w:r>
          </w:p>
        </w:tc>
      </w:tr>
      <w:tr w:rsidR="006C08BD" w:rsidTr="006C08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Информирование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>III 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Орган управления образованием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Обеспечено информирование</w:t>
            </w:r>
          </w:p>
        </w:tc>
      </w:tr>
      <w:tr w:rsidR="006C08BD" w:rsidTr="006C08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Проведение совещаний с руководителями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>III 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Орган управления образованием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Организовано методическое сопровождение</w:t>
            </w:r>
          </w:p>
        </w:tc>
      </w:tr>
      <w:tr w:rsidR="006C08BD" w:rsidTr="006C08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Организация приема заявлений и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>III 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Образовательные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Обеспечен прием документов</w:t>
            </w:r>
          </w:p>
        </w:tc>
      </w:tr>
      <w:tr w:rsidR="006C08BD" w:rsidTr="006C08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Назначение мер поддержки педагогическим работникам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>III 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Орган управления образованием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Реализованы меры поддержки</w:t>
            </w:r>
          </w:p>
        </w:tc>
      </w:tr>
      <w:tr w:rsidR="006C08BD" w:rsidTr="006C08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Организация системы наставничества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>IV этап</w:t>
            </w:r>
          </w:p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Образовательные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Закреплены наставники</w:t>
            </w:r>
          </w:p>
        </w:tc>
      </w:tr>
      <w:tr w:rsidR="006C08BD" w:rsidTr="006C08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Проведение муниципальных мероприятий общественного признания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Администрация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Повышение престижа профессии</w:t>
            </w:r>
          </w:p>
        </w:tc>
      </w:tr>
      <w:tr w:rsidR="006C08BD" w:rsidTr="006C08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Мониторинг эффективности реализации мер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Орган управления образованием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Подготовлен аналитический отчет</w:t>
            </w:r>
          </w:p>
        </w:tc>
      </w:tr>
      <w:tr w:rsidR="006C08BD" w:rsidTr="006C08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Корректировка муниципальных мер поддержки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BD" w:rsidRDefault="006C08B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По результатам мониторинга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Администрация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BD" w:rsidRDefault="006C08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11C29"/>
                <w:szCs w:val="24"/>
                <w:shd w:val="clear" w:color="auto" w:fill="FFFFFF"/>
              </w:rPr>
            </w:pPr>
            <w:r>
              <w:rPr>
                <w:color w:val="011C29"/>
                <w:shd w:val="clear" w:color="auto" w:fill="FFFFFF"/>
              </w:rPr>
              <w:t>Актуализированы меры поддержки</w:t>
            </w:r>
          </w:p>
        </w:tc>
      </w:tr>
    </w:tbl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rFonts w:eastAsia="Times New Roman"/>
          <w:color w:val="011C29"/>
          <w:sz w:val="27"/>
          <w:szCs w:val="27"/>
          <w:shd w:val="clear" w:color="auto" w:fill="FFFFFF"/>
        </w:rPr>
      </w:pP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color w:val="011C29"/>
          <w:sz w:val="27"/>
          <w:szCs w:val="27"/>
          <w:shd w:val="clear" w:color="auto" w:fill="FFFFFF"/>
        </w:rPr>
      </w:pP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7"/>
          <w:szCs w:val="27"/>
          <w:shd w:val="clear" w:color="auto" w:fill="FFFFFF"/>
        </w:rPr>
      </w:pP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I этап - подготовительный (1-2 месяца) 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- анализ кадрового состава; 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- финансово-экономическая оценка; 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- создание рабочей группы. 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  <w:shd w:val="clear" w:color="auto" w:fill="FFFFFF"/>
        </w:rPr>
      </w:pP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II этап - нормативный (2-3 месяца) 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- разработка и согласование муниципального правового акта; 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- утверждение перечня мер поддержки; 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- определение механизмов реализации. 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  <w:shd w:val="clear" w:color="auto" w:fill="FFFFFF"/>
        </w:rPr>
      </w:pP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III этап - организационный (1 месяц) 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- информирование образовательных организаций; 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- запуск процедур предоставления мер поддержки; 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- организация приема документов. 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  <w:shd w:val="clear" w:color="auto" w:fill="FFFFFF"/>
        </w:rPr>
      </w:pP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lastRenderedPageBreak/>
        <w:t xml:space="preserve">IV этап - практическая реализация (постоянно) 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- предоставление мер поддержки; 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- развитие наставничества; 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- проведение мероприятий общественного признания; 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- мониторинг эффективности. </w:t>
      </w: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color w:val="011C29"/>
          <w:sz w:val="27"/>
          <w:szCs w:val="27"/>
          <w:shd w:val="clear" w:color="auto" w:fill="FFFFFF"/>
        </w:rPr>
      </w:pPr>
    </w:p>
    <w:p w:rsidR="006C08BD" w:rsidRDefault="006C08BD" w:rsidP="006C08BD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bCs/>
          <w:color w:val="auto"/>
          <w:sz w:val="27"/>
          <w:szCs w:val="27"/>
          <w:lang w:eastAsia="en-US"/>
        </w:rPr>
      </w:pPr>
      <w:r>
        <w:rPr>
          <w:sz w:val="27"/>
          <w:szCs w:val="27"/>
          <w:shd w:val="clear" w:color="auto" w:fill="FFFFFF"/>
        </w:rPr>
        <w:t xml:space="preserve">Органам местного самоуправления рекомендуется обеспечить межведомственное взаимодействие при реализации мероприятий дорожной карты, а также учитывать кадровые и финансовые возможности муниципального образования при определении объема и </w:t>
      </w:r>
      <w:proofErr w:type="gramStart"/>
      <w:r>
        <w:rPr>
          <w:sz w:val="27"/>
          <w:szCs w:val="27"/>
          <w:shd w:val="clear" w:color="auto" w:fill="FFFFFF"/>
        </w:rPr>
        <w:t>форм</w:t>
      </w:r>
      <w:proofErr w:type="gramEnd"/>
      <w:r>
        <w:rPr>
          <w:sz w:val="27"/>
          <w:szCs w:val="27"/>
          <w:shd w:val="clear" w:color="auto" w:fill="FFFFFF"/>
        </w:rPr>
        <w:t xml:space="preserve"> дополнительных мер поддержки педагогических работников.</w:t>
      </w:r>
    </w:p>
    <w:p w:rsidR="006C08BD" w:rsidRDefault="006C08BD" w:rsidP="006C08BD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________________________________</w:t>
      </w:r>
    </w:p>
    <w:p w:rsidR="006C08BD" w:rsidRDefault="006C08BD" w:rsidP="006C08BD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7"/>
          <w:szCs w:val="27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7"/>
          <w:szCs w:val="27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7"/>
          <w:szCs w:val="27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7"/>
          <w:szCs w:val="27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7"/>
          <w:szCs w:val="27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7"/>
          <w:szCs w:val="27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7"/>
          <w:szCs w:val="27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7"/>
          <w:szCs w:val="27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 w:rsidP="006C08BD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C08BD" w:rsidRDefault="006C08BD">
      <w:pPr>
        <w:pStyle w:val="20"/>
        <w:shd w:val="clear" w:color="auto" w:fill="auto"/>
        <w:spacing w:after="1380" w:line="260" w:lineRule="exact"/>
        <w:ind w:left="820"/>
        <w:jc w:val="both"/>
      </w:pPr>
    </w:p>
    <w:p w:rsidR="006C08BD" w:rsidRDefault="006C08BD">
      <w:pPr>
        <w:pStyle w:val="20"/>
        <w:shd w:val="clear" w:color="auto" w:fill="auto"/>
        <w:spacing w:after="1380" w:line="260" w:lineRule="exact"/>
        <w:ind w:left="820"/>
        <w:jc w:val="both"/>
      </w:pPr>
    </w:p>
    <w:p w:rsidR="006C08BD" w:rsidRDefault="006C08BD">
      <w:pPr>
        <w:pStyle w:val="20"/>
        <w:shd w:val="clear" w:color="auto" w:fill="auto"/>
        <w:spacing w:after="1380" w:line="260" w:lineRule="exact"/>
        <w:ind w:left="820"/>
        <w:jc w:val="both"/>
      </w:pPr>
    </w:p>
    <w:p w:rsidR="006C08BD" w:rsidRPr="006C08BD" w:rsidRDefault="006C08BD">
      <w:pPr>
        <w:pStyle w:val="20"/>
        <w:shd w:val="clear" w:color="auto" w:fill="auto"/>
        <w:spacing w:after="1380" w:line="260" w:lineRule="exact"/>
        <w:ind w:left="820"/>
        <w:jc w:val="both"/>
      </w:pPr>
      <w:r>
        <w:lastRenderedPageBreak/>
        <w:t xml:space="preserve">            </w:t>
      </w:r>
    </w:p>
    <w:p w:rsidR="00DF6C1B" w:rsidRPr="006C08BD" w:rsidRDefault="00503C14" w:rsidP="006C08BD">
      <w:pPr>
        <w:pStyle w:val="20"/>
        <w:shd w:val="clear" w:color="auto" w:fill="auto"/>
        <w:spacing w:after="1380" w:line="260" w:lineRule="exact"/>
        <w:ind w:left="8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683895" distL="3651885" distR="63500" simplePos="0" relativeHeight="377487104" behindDoc="1" locked="0" layoutInCell="1" allowOverlap="1" wp14:anchorId="33694904" wp14:editId="6922FC1C">
                <wp:simplePos x="0" y="0"/>
                <wp:positionH relativeFrom="margin">
                  <wp:posOffset>5150485</wp:posOffset>
                </wp:positionH>
                <wp:positionV relativeFrom="paragraph">
                  <wp:posOffset>-24130</wp:posOffset>
                </wp:positionV>
                <wp:extent cx="977900" cy="177800"/>
                <wp:effectExtent l="0" t="4445" r="0" b="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1B" w:rsidRPr="00503C14" w:rsidRDefault="00DF6C1B">
                            <w:pPr>
                              <w:pStyle w:val="50"/>
                              <w:shd w:val="clear" w:color="auto" w:fill="auto"/>
                              <w:spacing w:before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5.55pt;margin-top:-1.9pt;width:77pt;height:14pt;z-index:-125829376;visibility:visible;mso-wrap-style:square;mso-width-percent:0;mso-height-percent:0;mso-wrap-distance-left:287.55pt;mso-wrap-distance-top:0;mso-wrap-distance-right:5pt;mso-wrap-distance-bottom:53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" filled="f" stroked="f">
                <v:textbox style="mso-fit-shape-to-text:t" inset="0,0,0,0">
                  <w:txbxContent>
                    <w:p w:rsidR="00DF6C1B" w:rsidRPr="00503C14" w:rsidRDefault="00DF6C1B">
                      <w:pPr>
                        <w:pStyle w:val="50"/>
                        <w:shd w:val="clear" w:color="auto" w:fill="auto"/>
                        <w:spacing w:before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33045" distR="1989455" simplePos="0" relativeHeight="377487105" behindDoc="1" locked="0" layoutInCell="1" allowOverlap="1" wp14:anchorId="7E2EC052" wp14:editId="6294F72F">
                <wp:simplePos x="0" y="0"/>
                <wp:positionH relativeFrom="margin">
                  <wp:posOffset>1731645</wp:posOffset>
                </wp:positionH>
                <wp:positionV relativeFrom="paragraph">
                  <wp:posOffset>-14605</wp:posOffset>
                </wp:positionV>
                <wp:extent cx="2407285" cy="227965"/>
                <wp:effectExtent l="0" t="4445" r="4445" b="3810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285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1B" w:rsidRPr="00503C14" w:rsidRDefault="00DF6C1B" w:rsidP="00503C14">
                            <w:pPr>
                              <w:pStyle w:val="6"/>
                              <w:shd w:val="clear" w:color="auto" w:fill="auto"/>
                              <w:spacing w:after="116"/>
                              <w:ind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36.35pt;margin-top:-1.15pt;width:189.55pt;height:17.95pt;z-index:-125829375;visibility:visible;mso-wrap-style:square;mso-width-percent:0;mso-height-percent:0;mso-wrap-distance-left:18.35pt;mso-wrap-distance-top:0;mso-wrap-distance-right:156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Db7rQ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" filled="f" stroked="f">
                <v:textbox style="mso-fit-shape-to-text:t" inset="0,0,0,0">
                  <w:txbxContent>
                    <w:p w:rsidR="00DF6C1B" w:rsidRPr="00503C14" w:rsidRDefault="00DF6C1B" w:rsidP="00503C14">
                      <w:pPr>
                        <w:pStyle w:val="6"/>
                        <w:shd w:val="clear" w:color="auto" w:fill="auto"/>
                        <w:spacing w:after="116"/>
                        <w:ind w:firstLine="0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sectPr w:rsidR="00DF6C1B" w:rsidRPr="006C08BD">
      <w:pgSz w:w="11900" w:h="16840"/>
      <w:pgMar w:top="1129" w:right="662" w:bottom="1556" w:left="1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E6C" w:rsidRDefault="00A27E6C">
      <w:r>
        <w:separator/>
      </w:r>
    </w:p>
  </w:endnote>
  <w:endnote w:type="continuationSeparator" w:id="0">
    <w:p w:rsidR="00A27E6C" w:rsidRDefault="00A2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E6C" w:rsidRDefault="00A27E6C"/>
  </w:footnote>
  <w:footnote w:type="continuationSeparator" w:id="0">
    <w:p w:rsidR="00A27E6C" w:rsidRDefault="00A27E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32418"/>
    <w:multiLevelType w:val="multilevel"/>
    <w:tmpl w:val="BDB0A7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1B"/>
    <w:rsid w:val="00503C14"/>
    <w:rsid w:val="006C08BD"/>
    <w:rsid w:val="00A27E6C"/>
    <w:rsid w:val="00DF6C1B"/>
    <w:rsid w:val="00F4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Exact0">
    <w:name w:val="Основной текст (7) + Полужирный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8pt">
    <w:name w:val="Основной текст (4) + 8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48pt0">
    <w:name w:val="Основной текст (4) + 8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243" w:lineRule="exact"/>
      <w:ind w:firstLine="2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120" w:line="248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ind w:hanging="138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table" w:styleId="a4">
    <w:name w:val="Table Grid"/>
    <w:basedOn w:val="a1"/>
    <w:uiPriority w:val="39"/>
    <w:rsid w:val="006C08B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Exact0">
    <w:name w:val="Основной текст (7) + Полужирный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8pt">
    <w:name w:val="Основной текст (4) + 8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48pt0">
    <w:name w:val="Основной текст (4) + 8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243" w:lineRule="exact"/>
      <w:ind w:firstLine="2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120" w:line="248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ind w:hanging="138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table" w:styleId="a4">
    <w:name w:val="Table Grid"/>
    <w:basedOn w:val="a1"/>
    <w:uiPriority w:val="39"/>
    <w:rsid w:val="006C08B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3</cp:revision>
  <dcterms:created xsi:type="dcterms:W3CDTF">2026-05-25T13:01:00Z</dcterms:created>
  <dcterms:modified xsi:type="dcterms:W3CDTF">2026-05-25T13:23:00Z</dcterms:modified>
</cp:coreProperties>
</file>